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40"/>
      </w:pPr>
      <w:r>
        <w:rPr>
          <w:b/>
          <w:color w:val="0D9488"/>
          <w:sz w:val="20"/>
        </w:rPr>
        <w:t>CHILDREN’S HOME GOVERNANCE</w:t>
      </w:r>
    </w:p>
    <w:p>
      <w:pPr>
        <w:pStyle w:val="Title"/>
      </w:pPr>
      <w:r>
        <w:t>Regulation 45</w:t>
        <w:br/>
        <w:t>Quality of Care Review</w:t>
      </w:r>
    </w:p>
    <w:p>
      <w:pPr/>
      <w:r>
        <w:rPr>
          <w:color w:val="475569"/>
          <w:sz w:val="30"/>
        </w:rPr>
        <w:t>A practical six-monthly review and action-planning template</w:t>
      </w:r>
    </w:p>
    <w:p>
      <w:r>
        <w:t>This is a working template, not a prescribed Ofsted form. Adapt it to the home, the children living there and the current statutory framework.</w:t>
      </w:r>
    </w:p>
    <w:p>
      <w:pPr/>
      <w:r>
        <w:t>Edition: July 2026</w:t>
      </w:r>
    </w:p>
    <w:p>
      <w:pPr/>
      <w:r>
        <w:rPr>
          <w:color w:val="0D9488"/>
        </w:rPr>
        <w:t>carebids.co.uk</w:t>
      </w:r>
    </w:p>
    <w:p>
      <w:r>
        <w:br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97"/>
        <w:gridCol w:w="4997"/>
      </w:tblGrid>
      <w:tr>
        <w:tc>
          <w:tcPr>
            <w:tcW w:type="dxa" w:w="475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Home details</w:t>
            </w:r>
          </w:p>
        </w:tc>
        <w:tc>
          <w:tcPr>
            <w:tcW w:type="dxa" w:w="475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Review details</w:t>
            </w:r>
          </w:p>
        </w:tc>
      </w:tr>
      <w:tr>
        <w:tc>
          <w:tcPr>
            <w:tcW w:type="dxa" w:w="475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Home name:</w:t>
              <w:br/>
              <w:br/>
              <w:t>URN:</w:t>
            </w:r>
          </w:p>
        </w:tc>
        <w:tc>
          <w:tcPr>
            <w:tcW w:type="dxa" w:w="475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Period covered:</w:t>
              <w:br/>
              <w:br/>
              <w:t>Review completed:</w:t>
            </w:r>
          </w:p>
        </w:tc>
      </w:tr>
      <w:tr>
        <w:tc>
          <w:tcPr>
            <w:tcW w:type="dxa" w:w="475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Registered provider:</w:t>
            </w:r>
          </w:p>
        </w:tc>
        <w:tc>
          <w:tcPr>
            <w:tcW w:type="dxa" w:w="475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Registered person leading review: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keepNext/>
      </w:pPr>
      <w:r>
        <w:t>How to use this template</w:t>
      </w:r>
    </w:p>
    <w:p>
      <w:r>
        <w:t>Regulation 45 requires the registered person to maintain a system for monitoring, reviewing and improving the quality of care. At least once every six months, the registered person must complete a review, prepare a written report and send it to HMCI within the prescribed timescale.</w:t>
      </w:r>
    </w:p>
    <w:p>
      <w:pPr>
        <w:pStyle w:val="Heading2"/>
        <w:keepNext/>
      </w:pPr>
      <w:r>
        <w:t>A useful review does four things</w:t>
      </w:r>
    </w:p>
    <w:p>
      <w:pPr>
        <w:pStyle w:val="ListBullet"/>
        <w:spacing w:after="60"/>
      </w:pPr>
      <w:r>
        <w:t>brings together evidence from the whole review period;</w:t>
      </w:r>
    </w:p>
    <w:p>
      <w:pPr>
        <w:pStyle w:val="ListBullet"/>
        <w:spacing w:after="60"/>
      </w:pPr>
      <w:r>
        <w:t>seeks and considers children’s opinions, subject to age and understanding;</w:t>
      </w:r>
    </w:p>
    <w:p>
      <w:pPr>
        <w:pStyle w:val="ListBullet"/>
        <w:spacing w:after="60"/>
      </w:pPr>
      <w:r>
        <w:t>analyses the impact of care on children’s experiences and outcomes;</w:t>
      </w:r>
    </w:p>
    <w:p>
      <w:pPr>
        <w:pStyle w:val="ListBullet"/>
        <w:spacing w:after="60"/>
      </w:pPr>
      <w:r>
        <w:t>turns findings into owned, measurable improvement actions.</w:t>
      </w:r>
    </w:p>
    <w:p>
      <w:pPr>
        <w:pStyle w:val="Heading2"/>
        <w:keepNext/>
      </w:pPr>
      <w:r>
        <w:t>Before drafting</w:t>
      </w:r>
    </w:p>
    <w:p>
      <w:pPr>
        <w:pStyle w:val="ListBullet"/>
        <w:spacing w:after="60"/>
      </w:pPr>
      <w:r>
        <w:t>Check Regulation 45 and the current Ofsted SCCIF guidance.</w:t>
      </w:r>
    </w:p>
    <w:p>
      <w:pPr>
        <w:pStyle w:val="ListBullet"/>
        <w:spacing w:after="60"/>
      </w:pPr>
      <w:r>
        <w:t>Define the period and evidence set; do not copy the previous report forward.</w:t>
      </w:r>
    </w:p>
    <w:p>
      <w:pPr>
        <w:pStyle w:val="ListBullet"/>
        <w:spacing w:after="60"/>
      </w:pPr>
      <w:r>
        <w:t>Remove unnecessary personal data and use anonymised identifiers where possible.</w:t>
      </w:r>
    </w:p>
    <w:p>
      <w:pPr>
        <w:pStyle w:val="ListBullet"/>
        <w:spacing w:after="60"/>
      </w:pPr>
      <w:r>
        <w:t>Record how children’s views were sought, including adaptations and non-verbal communication.</w:t>
      </w:r>
    </w:p>
    <w:p>
      <w:pPr>
        <w:pStyle w:val="ListBullet"/>
        <w:spacing w:after="60"/>
      </w:pPr>
      <w:r>
        <w:t>Keep the evidence supporting conclusions available for inspection.</w:t>
      </w:r>
    </w:p>
    <w:p>
      <w:pPr>
        <w:pStyle w:val="ListBullet"/>
        <w:spacing w:after="60"/>
      </w:pPr>
      <w:r>
        <w:t>Record the URN and review date when submitting the report to Ofsted.</w:t>
      </w:r>
    </w:p>
    <w:p>
      <w:pPr>
        <w:pStyle w:val="Heading2"/>
        <w:keepNext/>
      </w:pPr>
      <w:r>
        <w:t>Evidence register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8"/>
        <w:gridCol w:w="2498"/>
        <w:gridCol w:w="2498"/>
        <w:gridCol w:w="2498"/>
      </w:tblGrid>
      <w:tr>
        <w:tc>
          <w:tcPr>
            <w:tcW w:type="dxa" w:w="345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Evidence reviewed</w:t>
            </w:r>
          </w:p>
        </w:tc>
        <w:tc>
          <w:tcPr>
            <w:tcW w:type="dxa" w:w="201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Period / sample</w:t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Owner</w:t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Key limitation</w:t>
            </w:r>
          </w:p>
        </w:tc>
      </w:tr>
      <w:tr>
        <w:tc>
          <w:tcPr>
            <w:tcW w:type="dxa" w:w="345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Regulation 44 reports</w:t>
            </w:r>
          </w:p>
        </w:tc>
        <w:tc>
          <w:tcPr>
            <w:tcW w:type="dxa" w:w="201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Children’s meetings / feedback</w:t>
            </w:r>
          </w:p>
        </w:tc>
        <w:tc>
          <w:tcPr>
            <w:tcW w:type="dxa" w:w="201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Safeguarding, missing and incident records</w:t>
            </w:r>
          </w:p>
        </w:tc>
        <w:tc>
          <w:tcPr>
            <w:tcW w:type="dxa" w:w="201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Complaints and compliments</w:t>
            </w:r>
          </w:p>
        </w:tc>
        <w:tc>
          <w:tcPr>
            <w:tcW w:type="dxa" w:w="201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Care plans, education and health records</w:t>
            </w:r>
          </w:p>
        </w:tc>
        <w:tc>
          <w:tcPr>
            <w:tcW w:type="dxa" w:w="201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Staffing, supervision and training</w:t>
            </w:r>
          </w:p>
        </w:tc>
        <w:tc>
          <w:tcPr>
            <w:tcW w:type="dxa" w:w="201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keepNext/>
      </w:pPr>
      <w:r>
        <w:t>1. Executive findings</w:t>
      </w:r>
    </w:p>
    <w:p>
      <w:pPr>
        <w:spacing w:after="60"/>
      </w:pPr>
      <w:r>
        <w:rPr>
          <w:b/>
          <w:color w:val="1A1A2E"/>
        </w:rPr>
        <w:t>Overall judgement</w:t>
      </w:r>
      <w:r>
        <w:rPr>
          <w:i/>
          <w:color w:val="64748B"/>
          <w:sz w:val="18"/>
        </w:rPr>
        <w:t xml:space="preserve">  What improved, what did not, and why?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60"/>
      </w:pPr>
      <w:r>
        <w:rPr>
          <w:b/>
          <w:color w:val="1A1A2E"/>
        </w:rPr>
        <w:t>The three strongest findings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60"/>
      </w:pPr>
      <w:r>
        <w:rPr>
          <w:b/>
          <w:color w:val="1A1A2E"/>
        </w:rPr>
        <w:t>The three priority risks or improvement needs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pStyle w:val="Heading2"/>
        <w:keepNext/>
      </w:pPr>
      <w:r>
        <w:t>Headline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8"/>
        <w:gridCol w:w="2498"/>
        <w:gridCol w:w="2498"/>
        <w:gridCol w:w="2498"/>
      </w:tblGrid>
      <w:tr>
        <w:tc>
          <w:tcPr>
            <w:tcW w:type="dxa" w:w="316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Measure</w:t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Previous period</w:t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This period</w:t>
            </w:r>
          </w:p>
        </w:tc>
        <w:tc>
          <w:tcPr>
            <w:tcW w:type="dxa" w:w="28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What the change means</w:t>
            </w:r>
          </w:p>
        </w:tc>
      </w:tr>
      <w:tr>
        <w:tc>
          <w:tcPr>
            <w:tcW w:type="dxa" w:w="316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Safeguarding concerns</w:t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8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16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Missing episodes</w:t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8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16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Restraints / restrictive practice</w:t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8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16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Complaints</w:t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8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16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Education attendance / engagement</w:t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8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16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Staff turnover / agency use</w:t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8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</w:tbl>
    <w:p>
      <w:pPr>
        <w:spacing w:after="0"/>
      </w:pPr>
    </w:p>
    <w:p>
      <w:pPr>
        <w:spacing w:after="60"/>
      </w:pPr>
      <w:r>
        <w:rPr>
          <w:b/>
          <w:color w:val="1A1A2E"/>
        </w:rPr>
        <w:t>Context and limitations</w:t>
      </w:r>
      <w:r>
        <w:rPr>
          <w:i/>
          <w:color w:val="64748B"/>
          <w:sz w:val="18"/>
        </w:rPr>
        <w:t xml:space="preserve">  Changes in occupancy, mix of need, data quality or other factors affecting comparison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r>
        <w:br w:type="page"/>
      </w:r>
    </w:p>
    <w:p>
      <w:pPr>
        <w:pStyle w:val="Heading1"/>
        <w:keepNext/>
      </w:pPr>
      <w:r>
        <w:t>2. Children’s experiences and views</w:t>
      </w:r>
    </w:p>
    <w:p>
      <w:pPr>
        <w:spacing w:after="60"/>
      </w:pPr>
      <w:r>
        <w:rPr>
          <w:b/>
          <w:color w:val="1A1A2E"/>
        </w:rPr>
        <w:t>How views were sought</w:t>
      </w:r>
      <w:r>
        <w:rPr>
          <w:i/>
          <w:color w:val="64748B"/>
          <w:sz w:val="18"/>
        </w:rPr>
        <w:t xml:space="preserve">  Methods, frequency, accessibility and who was included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31"/>
        <w:gridCol w:w="3331"/>
        <w:gridCol w:w="3331"/>
      </w:tblGrid>
      <w:tr>
        <w:tc>
          <w:tcPr>
            <w:tcW w:type="dxa" w:w="345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What children told us</w:t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Evidence / reach</w:t>
            </w:r>
          </w:p>
        </w:tc>
        <w:tc>
          <w:tcPr>
            <w:tcW w:type="dxa" w:w="374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What changed or will change</w:t>
            </w:r>
          </w:p>
        </w:tc>
      </w:tr>
      <w:tr>
        <w:tc>
          <w:tcPr>
            <w:tcW w:type="dxa" w:w="345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374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374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374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</w:tbl>
    <w:p>
      <w:pPr>
        <w:spacing w:after="0"/>
      </w:pPr>
    </w:p>
    <w:p>
      <w:pPr>
        <w:spacing w:after="60"/>
      </w:pPr>
      <w:r>
        <w:rPr>
          <w:b/>
          <w:color w:val="1A1A2E"/>
        </w:rPr>
        <w:t>Children whose views were harder to obtain</w:t>
      </w:r>
      <w:r>
        <w:rPr>
          <w:i/>
          <w:color w:val="64748B"/>
          <w:sz w:val="18"/>
        </w:rPr>
        <w:t xml:space="preserve">  Explain adaptations, observation and advocacy; do not infer a view without evidence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60"/>
      </w:pPr>
      <w:r>
        <w:rPr>
          <w:b/>
          <w:color w:val="1A1A2E"/>
        </w:rPr>
        <w:t>Impact on day-to-day experience</w:t>
      </w:r>
      <w:r>
        <w:rPr>
          <w:i/>
          <w:color w:val="64748B"/>
          <w:sz w:val="18"/>
        </w:rPr>
        <w:t xml:space="preserve">  Privacy, relationships, routines, activities, rights, belonging and feeling safe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pStyle w:val="Heading2"/>
        <w:keepNext/>
      </w:pPr>
      <w:r>
        <w:t>Views from the wider network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8"/>
        <w:gridCol w:w="2498"/>
        <w:gridCol w:w="2498"/>
        <w:gridCol w:w="2498"/>
      </w:tblGrid>
      <w:tr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Group</w:t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How views were sought</w:t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Main themes</w:t>
            </w:r>
          </w:p>
        </w:tc>
        <w:tc>
          <w:tcPr>
            <w:tcW w:type="dxa" w:w="216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Response</w:t>
            </w:r>
          </w:p>
        </w:tc>
      </w:tr>
      <w:tr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Families / people important to children</w:t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16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Social workers / placing teams</w:t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16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Education and health partners</w:t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16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Staff</w:t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16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keepNext/>
      </w:pPr>
      <w:r>
        <w:t>3. Quality of care and outcomes</w:t>
      </w:r>
    </w:p>
    <w:p>
      <w:r>
        <w:t>For each area, distinguish activity from impact. Reference evidence, variation between children and learning from adverse events.</w:t>
      </w:r>
    </w:p>
    <w:p>
      <w:pPr>
        <w:pStyle w:val="Heading2"/>
        <w:keepNext/>
      </w:pPr>
      <w:r>
        <w:t>Care planning and progress</w:t>
      </w:r>
    </w:p>
    <w:p>
      <w:pPr>
        <w:spacing w:after="60"/>
      </w:pPr>
      <w:r>
        <w:rPr>
          <w:b/>
          <w:color w:val="1A1A2E"/>
        </w:rPr>
        <w:t>Finding and impact</w:t>
      </w:r>
      <w:r>
        <w:rPr>
          <w:i/>
          <w:color w:val="64748B"/>
          <w:sz w:val="18"/>
        </w:rPr>
        <w:t xml:space="preserve">  Admissions, plans, reviews, transitions and whether care remains matched to need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60"/>
      </w:pPr>
      <w:r>
        <w:rPr>
          <w:b/>
          <w:color w:val="1A1A2E"/>
        </w:rPr>
        <w:t>Evidence and improvement needed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pStyle w:val="Heading2"/>
        <w:keepNext/>
      </w:pPr>
      <w:r>
        <w:t>Education and employment</w:t>
      </w:r>
    </w:p>
    <w:p>
      <w:pPr>
        <w:spacing w:after="60"/>
      </w:pPr>
      <w:r>
        <w:rPr>
          <w:b/>
          <w:color w:val="1A1A2E"/>
        </w:rPr>
        <w:t>Finding and impact</w:t>
      </w:r>
      <w:r>
        <w:rPr>
          <w:i/>
          <w:color w:val="64748B"/>
          <w:sz w:val="18"/>
        </w:rPr>
        <w:t xml:space="preserve">  Attendance, engagement, attainment, aspirations and barriers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60"/>
      </w:pPr>
      <w:r>
        <w:rPr>
          <w:b/>
          <w:color w:val="1A1A2E"/>
        </w:rPr>
        <w:t>Evidence and improvement needed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pStyle w:val="Heading2"/>
        <w:keepNext/>
      </w:pPr>
      <w:r>
        <w:t>Health and well-being</w:t>
      </w:r>
    </w:p>
    <w:p>
      <w:pPr>
        <w:spacing w:after="60"/>
      </w:pPr>
      <w:r>
        <w:rPr>
          <w:b/>
          <w:color w:val="1A1A2E"/>
        </w:rPr>
        <w:t>Finding and impact</w:t>
      </w:r>
      <w:r>
        <w:rPr>
          <w:i/>
          <w:color w:val="64748B"/>
          <w:sz w:val="18"/>
        </w:rPr>
        <w:t xml:space="preserve">  Access, physical and emotional health, medication and therapeutic support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60"/>
      </w:pPr>
      <w:r>
        <w:rPr>
          <w:b/>
          <w:color w:val="1A1A2E"/>
        </w:rPr>
        <w:t>Evidence and improvement needed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pStyle w:val="Heading2"/>
        <w:keepNext/>
      </w:pPr>
      <w:r>
        <w:t>Positive relationships and rights</w:t>
      </w:r>
    </w:p>
    <w:p>
      <w:pPr>
        <w:spacing w:after="60"/>
      </w:pPr>
      <w:r>
        <w:rPr>
          <w:b/>
          <w:color w:val="1A1A2E"/>
        </w:rPr>
        <w:t>Finding and impact</w:t>
      </w:r>
      <w:r>
        <w:rPr>
          <w:i/>
          <w:color w:val="64748B"/>
          <w:sz w:val="18"/>
        </w:rPr>
        <w:t xml:space="preserve">  Trusted adults, family contact, advocacy, privacy, choice and complaints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60"/>
      </w:pPr>
      <w:r>
        <w:rPr>
          <w:b/>
          <w:color w:val="1A1A2E"/>
        </w:rPr>
        <w:t>Evidence and improvement needed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pStyle w:val="Heading2"/>
        <w:keepNext/>
      </w:pPr>
      <w:r>
        <w:t>Protection from harm</w:t>
      </w:r>
    </w:p>
    <w:p>
      <w:pPr>
        <w:spacing w:after="60"/>
      </w:pPr>
      <w:r>
        <w:rPr>
          <w:b/>
          <w:color w:val="1A1A2E"/>
        </w:rPr>
        <w:t>Finding and impact</w:t>
      </w:r>
      <w:r>
        <w:rPr>
          <w:i/>
          <w:color w:val="64748B"/>
          <w:sz w:val="18"/>
        </w:rPr>
        <w:t xml:space="preserve">  Safeguarding, missing, exploitation, restraint, bullying and learning from incidents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60"/>
      </w:pPr>
      <w:r>
        <w:rPr>
          <w:b/>
          <w:color w:val="1A1A2E"/>
        </w:rPr>
        <w:t>Evidence and improvement needed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r>
        <w:br w:type="page"/>
      </w:r>
    </w:p>
    <w:p>
      <w:pPr>
        <w:pStyle w:val="Heading1"/>
        <w:keepNext/>
      </w:pPr>
      <w:r>
        <w:t>4. Leadership, workforce and governance</w:t>
      </w:r>
    </w:p>
    <w:p>
      <w:pPr>
        <w:spacing w:after="60"/>
      </w:pPr>
      <w:r>
        <w:rPr>
          <w:b/>
          <w:color w:val="1A1A2E"/>
        </w:rPr>
        <w:t>Leadership and management</w:t>
      </w:r>
      <w:r>
        <w:rPr>
          <w:i/>
          <w:color w:val="64748B"/>
          <w:sz w:val="18"/>
        </w:rPr>
        <w:t xml:space="preserve">  Oversight, culture, challenge, notifications, partnership working and response to previous actions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8"/>
        <w:gridCol w:w="2498"/>
        <w:gridCol w:w="2498"/>
        <w:gridCol w:w="2498"/>
      </w:tblGrid>
      <w:tr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Workforce measure</w:t>
            </w:r>
          </w:p>
        </w:tc>
        <w:tc>
          <w:tcPr>
            <w:tcW w:type="dxa" w:w="187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Position</w:t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Impact on care</w:t>
            </w:r>
          </w:p>
        </w:tc>
        <w:tc>
          <w:tcPr>
            <w:tcW w:type="dxa" w:w="302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Management response</w:t>
            </w:r>
          </w:p>
        </w:tc>
      </w:tr>
      <w:tr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Vacancies and turnover</w:t>
            </w:r>
          </w:p>
        </w:tc>
        <w:tc>
          <w:tcPr>
            <w:tcW w:type="dxa" w:w="187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302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Agency / bank use</w:t>
            </w:r>
          </w:p>
        </w:tc>
        <w:tc>
          <w:tcPr>
            <w:tcW w:type="dxa" w:w="187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302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Supervision and appraisal</w:t>
            </w:r>
          </w:p>
        </w:tc>
        <w:tc>
          <w:tcPr>
            <w:tcW w:type="dxa" w:w="187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302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Training and competency</w:t>
            </w:r>
          </w:p>
        </w:tc>
        <w:tc>
          <w:tcPr>
            <w:tcW w:type="dxa" w:w="187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302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244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Sickness and well-being</w:t>
            </w:r>
          </w:p>
        </w:tc>
        <w:tc>
          <w:tcPr>
            <w:tcW w:type="dxa" w:w="187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302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</w:tbl>
    <w:p>
      <w:pPr>
        <w:spacing w:after="0"/>
      </w:pPr>
    </w:p>
    <w:p>
      <w:pPr>
        <w:pStyle w:val="Heading2"/>
        <w:keepNext/>
      </w:pPr>
      <w:r>
        <w:t>Learning and assurance</w:t>
      </w:r>
    </w:p>
    <w:p>
      <w:pPr>
        <w:spacing w:after="60"/>
      </w:pPr>
      <w:r>
        <w:rPr>
          <w:b/>
          <w:color w:val="1A1A2E"/>
        </w:rPr>
        <w:t>Themes from Regulation 44, inspections, complaints, incidents and audits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60"/>
      </w:pPr>
      <w:r>
        <w:rPr>
          <w:b/>
          <w:color w:val="1A1A2E"/>
        </w:rPr>
        <w:t>What changed as a result—and how we know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pStyle w:val="Heading2"/>
        <w:keepNext/>
      </w:pPr>
      <w:r>
        <w:t>Previous action 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8"/>
        <w:gridCol w:w="2498"/>
        <w:gridCol w:w="2498"/>
        <w:gridCol w:w="2498"/>
      </w:tblGrid>
      <w:tr>
        <w:tc>
          <w:tcPr>
            <w:tcW w:type="dxa" w:w="316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Previous action</w:t>
            </w:r>
          </w:p>
        </w:tc>
        <w:tc>
          <w:tcPr>
            <w:tcW w:type="dxa" w:w="14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Status</w:t>
            </w:r>
          </w:p>
        </w:tc>
        <w:tc>
          <w:tcPr>
            <w:tcW w:type="dxa" w:w="331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Evidence of impact</w:t>
            </w:r>
          </w:p>
        </w:tc>
        <w:tc>
          <w:tcPr>
            <w:tcW w:type="dxa" w:w="187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Carry forward?</w:t>
            </w:r>
          </w:p>
        </w:tc>
      </w:tr>
      <w:tr>
        <w:tc>
          <w:tcPr>
            <w:tcW w:type="dxa" w:w="316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4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331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87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16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4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331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87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16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4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331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87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keepNext/>
      </w:pPr>
      <w:r>
        <w:t>5. Analysis and improvement plan</w:t>
      </w:r>
    </w:p>
    <w:p>
      <w:pPr>
        <w:spacing w:after="60"/>
      </w:pPr>
      <w:r>
        <w:rPr>
          <w:b/>
          <w:color w:val="1A1A2E"/>
        </w:rPr>
        <w:t>Cross-cutting themes</w:t>
      </w:r>
      <w:r>
        <w:rPr>
          <w:i/>
          <w:color w:val="64748B"/>
          <w:sz w:val="18"/>
        </w:rPr>
        <w:t xml:space="preserve">  What explains the patterns across children, teams, incidents and outcomes?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60"/>
      </w:pPr>
      <w:r>
        <w:rPr>
          <w:b/>
          <w:color w:val="1A1A2E"/>
        </w:rPr>
        <w:t>What will be sustained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60"/>
      </w:pPr>
      <w:r>
        <w:rPr>
          <w:b/>
          <w:color w:val="1A1A2E"/>
        </w:rPr>
        <w:t>What requires immediate action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pStyle w:val="Heading2"/>
        <w:keepNext/>
      </w:pPr>
      <w:r>
        <w:t>SMART action 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99"/>
        <w:gridCol w:w="1999"/>
        <w:gridCol w:w="1999"/>
        <w:gridCol w:w="1999"/>
        <w:gridCol w:w="1999"/>
      </w:tblGrid>
      <w:tr>
        <w:tc>
          <w:tcPr>
            <w:tcW w:type="dxa" w:w="309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Action and intended outcome</w:t>
            </w:r>
          </w:p>
        </w:tc>
        <w:tc>
          <w:tcPr>
            <w:tcW w:type="dxa" w:w="14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Owner</w:t>
            </w:r>
          </w:p>
        </w:tc>
        <w:tc>
          <w:tcPr>
            <w:tcW w:type="dxa" w:w="115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Due</w:t>
            </w:r>
          </w:p>
        </w:tc>
        <w:tc>
          <w:tcPr>
            <w:tcW w:type="dxa" w:w="237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Measure / evidence</w:t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Progress</w:t>
            </w:r>
          </w:p>
        </w:tc>
      </w:tr>
      <w:tr>
        <w:tc>
          <w:tcPr>
            <w:tcW w:type="dxa" w:w="309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4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15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37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09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4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15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37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09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4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15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37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09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4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15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37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09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4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15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37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</w:tbl>
    <w:p>
      <w:pPr>
        <w:spacing w:after="0"/>
      </w:pPr>
    </w:p>
    <w:p>
      <w:pPr>
        <w:spacing w:after="60"/>
      </w:pPr>
      <w:r>
        <w:rPr>
          <w:b/>
          <w:color w:val="1A1A2E"/>
        </w:rPr>
        <w:t>How progress will be governed between reviews</w:t>
      </w:r>
      <w:r>
        <w:rPr>
          <w:i/>
          <w:color w:val="64748B"/>
          <w:sz w:val="18"/>
        </w:rPr>
        <w:t xml:space="preserve">  Meeting, cadence, escalation and evidence owner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pPr>
        <w:spacing w:after="40"/>
      </w:pPr>
      <w:r>
        <w:rPr>
          <w:color w:val="CBD5E1"/>
          <w:sz w:val="16"/>
        </w:rPr>
        <w:t>________________________________________________________________________________</w:t>
      </w:r>
    </w:p>
    <w:p>
      <w:r>
        <w:br w:type="page"/>
      </w:r>
    </w:p>
    <w:p>
      <w:pPr>
        <w:pStyle w:val="Heading1"/>
        <w:keepNext/>
      </w:pPr>
      <w:r>
        <w:t>6. Sign-off and submission record</w:t>
      </w:r>
    </w:p>
    <w:p>
      <w:r>
        <w:t>By signing, the registered person confirms that the report represents an honest review of the evidence available for the period. Signing does not replace any approval or submission requirement in current guidance.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8"/>
        <w:gridCol w:w="2498"/>
        <w:gridCol w:w="2498"/>
        <w:gridCol w:w="2498"/>
      </w:tblGrid>
      <w:tr>
        <w:tc>
          <w:tcPr>
            <w:tcW w:type="dxa" w:w="28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Role</w:t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Name</w:t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Signature</w:t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Date</w:t>
            </w:r>
          </w:p>
        </w:tc>
      </w:tr>
      <w:tr>
        <w:tc>
          <w:tcPr>
            <w:tcW w:type="dxa" w:w="28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Registered person</w:t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28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Registered manager (if different)</w:t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2592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58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</w:tbl>
    <w:p>
      <w:pPr>
        <w:spacing w:after="0"/>
      </w:pPr>
    </w:p>
    <w:p>
      <w:pPr>
        <w:pStyle w:val="Heading2"/>
        <w:keepNext/>
      </w:pPr>
      <w:r>
        <w:t>Submission record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8"/>
        <w:gridCol w:w="2498"/>
        <w:gridCol w:w="2498"/>
        <w:gridCol w:w="2498"/>
      </w:tblGrid>
      <w:tr>
        <w:tc>
          <w:tcPr>
            <w:tcW w:type="dxa" w:w="309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Recipient / route</w:t>
            </w:r>
          </w:p>
        </w:tc>
        <w:tc>
          <w:tcPr>
            <w:tcW w:type="dxa" w:w="17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Date sent</w:t>
            </w:r>
          </w:p>
        </w:tc>
        <w:tc>
          <w:tcPr>
            <w:tcW w:type="dxa" w:w="36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Reference / acknowledgement</w:t>
            </w:r>
          </w:p>
        </w:tc>
        <w:tc>
          <w:tcPr>
            <w:tcW w:type="dxa" w:w="129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1A1A2E"/>
          </w:tcPr>
          <w:p>
            <w:pPr>
              <w:spacing w:after="0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Sent by</w:t>
            </w:r>
          </w:p>
        </w:tc>
      </w:tr>
      <w:tr>
        <w:tc>
          <w:tcPr>
            <w:tcW w:type="dxa" w:w="309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HMCI / Ofsted</w:t>
            </w:r>
          </w:p>
        </w:tc>
        <w:tc>
          <w:tcPr>
            <w:tcW w:type="dxa" w:w="17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36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29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  <w:tr>
        <w:tc>
          <w:tcPr>
            <w:tcW w:type="dxa" w:w="309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  <w:t>Other recipients required by policy or law</w:t>
            </w:r>
          </w:p>
        </w:tc>
        <w:tc>
          <w:tcPr>
            <w:tcW w:type="dxa" w:w="17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36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  <w:tc>
          <w:tcPr>
            <w:tcW w:type="dxa" w:w="129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AFAF9"/>
          </w:tcPr>
          <w:p>
            <w:pPr>
              <w:spacing w:after="0"/>
            </w:pPr>
            <w:r/>
            <w:r>
              <w:rPr>
                <w:rFonts w:ascii="Calibri" w:hAnsi="Calibri"/>
                <w:b w:val="0"/>
                <w:color w:val="1A1A2E"/>
                <w:sz w:val="18"/>
              </w:rPr>
            </w:r>
          </w:p>
        </w:tc>
      </w:tr>
    </w:tbl>
    <w:p>
      <w:pPr>
        <w:spacing w:after="0"/>
      </w:pPr>
    </w:p>
    <w:p>
      <w:pPr>
        <w:pStyle w:val="Heading2"/>
        <w:keepNext/>
      </w:pPr>
      <w:r>
        <w:t>Final quality check</w:t>
      </w:r>
    </w:p>
    <w:p>
      <w:pPr>
        <w:pStyle w:val="ListBullet"/>
        <w:spacing w:after="60"/>
      </w:pPr>
      <w:r>
        <w:t>☐ The review covers no more than six months and identifies the period clearly.</w:t>
      </w:r>
    </w:p>
    <w:p>
      <w:pPr>
        <w:pStyle w:val="ListBullet"/>
        <w:spacing w:after="60"/>
      </w:pPr>
      <w:r>
        <w:t>☐ Children’s opinions were sought and considered in ways suited to age and understanding.</w:t>
      </w:r>
    </w:p>
    <w:p>
      <w:pPr>
        <w:pStyle w:val="ListBullet"/>
        <w:spacing w:after="60"/>
      </w:pPr>
      <w:r>
        <w:t>☐ Conclusions distinguish evidence, analysis and planned action.</w:t>
      </w:r>
    </w:p>
    <w:p>
      <w:pPr>
        <w:pStyle w:val="ListBullet"/>
        <w:spacing w:after="60"/>
      </w:pPr>
      <w:r>
        <w:t>☐ Personal data is necessary, proportionate and handled securely.</w:t>
      </w:r>
    </w:p>
    <w:p>
      <w:pPr>
        <w:pStyle w:val="ListBullet"/>
        <w:spacing w:after="60"/>
      </w:pPr>
      <w:r>
        <w:t>☐ Actions have owners, dates and measures of impact.</w:t>
      </w:r>
    </w:p>
    <w:p>
      <w:pPr>
        <w:pStyle w:val="ListBullet"/>
        <w:spacing w:after="60"/>
      </w:pPr>
      <w:r>
        <w:t>☐ The home’s URN and review date are included in the submission record.</w:t>
      </w:r>
    </w:p>
    <w:p>
      <w:pPr>
        <w:pStyle w:val="ListBullet"/>
        <w:spacing w:after="60"/>
      </w:pPr>
      <w:r>
        <w:t>☐ The report was sent to HMCI within the required timescale.</w:t>
      </w:r>
    </w:p>
    <w:p>
      <w:pPr>
        <w:pStyle w:val="Heading2"/>
        <w:keepNext/>
      </w:pPr>
      <w:r>
        <w:t>Sources to check before use</w:t>
      </w:r>
    </w:p>
    <w:p>
      <w:r>
        <w:t>Children’s Homes (England) Regulations 2015, regulation 45: legislation.gov.uk/uksi/2015/541/regulation/45</w:t>
        <w:br/>
        <w:t>Ofsted Social Care Common Inspection Framework for children’s homes: gov.uk/government/publications/social-care-common-inspection-framework-sccif-childrens-homes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123" w:bottom="1037" w:left="1123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748B"/>
        <w:sz w:val="16"/>
      </w:rPr>
      <w:t xml:space="preserve">CareBids working template  •  Review against current legislation and Ofsted guidance  •  </w:t>
    </w:r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rPr>
        <w:b/>
        <w:color w:val="0D9488"/>
        <w:sz w:val="16"/>
      </w:rPr>
      <w:t>CAREBIDS  /  QUALITY &amp; GOVERNANCE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8" w:lineRule="auto"/>
    </w:pPr>
    <w:rPr>
      <w:rFonts w:ascii="Calibri" w:hAnsi="Calibri"/>
      <w:color w:val="33415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1A1A2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0D948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8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A1A2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1A1A2E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